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2B" w:rsidRPr="00234228" w:rsidRDefault="00590D2B" w:rsidP="00234228">
      <w:pPr>
        <w:spacing w:after="0" w:line="240" w:lineRule="auto"/>
        <w:ind w:firstLine="7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Методичні рекомендації</w:t>
      </w:r>
      <w:r w:rsidRPr="0023422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щодо викладання </w:t>
      </w:r>
      <w:proofErr w:type="spellStart"/>
      <w:r w:rsidRPr="0023422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хімії</w:t>
      </w:r>
      <w:proofErr w:type="spellEnd"/>
      <w:r w:rsidRPr="0023422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 2020/2021 навчальному році</w:t>
      </w:r>
    </w:p>
    <w:p w:rsidR="00590D2B" w:rsidRPr="00234228" w:rsidRDefault="00590D2B" w:rsidP="00234228">
      <w:pPr>
        <w:spacing w:after="0" w:line="240" w:lineRule="auto"/>
        <w:ind w:firstLine="715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Чорна І.В.</w:t>
      </w:r>
    </w:p>
    <w:p w:rsidR="00590D2B" w:rsidRPr="00234228" w:rsidRDefault="00590D2B" w:rsidP="00234228">
      <w:pPr>
        <w:spacing w:after="0" w:line="240" w:lineRule="auto"/>
        <w:ind w:firstLine="71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методист НМЦ </w:t>
      </w:r>
    </w:p>
    <w:p w:rsidR="00590D2B" w:rsidRPr="00234228" w:rsidRDefault="00590D2B" w:rsidP="00234228">
      <w:pPr>
        <w:spacing w:after="0" w:line="240" w:lineRule="auto"/>
        <w:ind w:firstLine="71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природничо-математичних дисциплін ІППОЧО</w:t>
      </w:r>
    </w:p>
    <w:p w:rsidR="002A67A5" w:rsidRPr="00234228" w:rsidRDefault="002A67A5" w:rsidP="00234228">
      <w:pPr>
        <w:spacing w:after="0" w:line="360" w:lineRule="auto"/>
        <w:ind w:firstLine="7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 xml:space="preserve">У зв’язку з високими темпами розвитку науки й техніки, євроінтеграційної політики в Україні, реформування шкільної системи освіти, суспільство потребує освічених людей з широким кругозором, здатних розробляти свої життєві плани, критично мислити, самостійно використовувати знання для розв’язання проблем. </w:t>
      </w:r>
      <w:r w:rsidR="0085306B" w:rsidRPr="00234228">
        <w:rPr>
          <w:rFonts w:ascii="Times New Roman" w:hAnsi="Times New Roman" w:cs="Times New Roman"/>
          <w:sz w:val="28"/>
          <w:szCs w:val="28"/>
        </w:rPr>
        <w:t xml:space="preserve">Зміст та завдання шкільного курсу хімії вимагають нових підходів до організації навчально-виховного процесу, спрямованих на формування ключових і предметних </w:t>
      </w:r>
      <w:proofErr w:type="spellStart"/>
      <w:r w:rsidR="0085306B" w:rsidRPr="002342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5306B" w:rsidRPr="00234228">
        <w:rPr>
          <w:rFonts w:ascii="Times New Roman" w:hAnsi="Times New Roman" w:cs="Times New Roman"/>
          <w:sz w:val="28"/>
          <w:szCs w:val="28"/>
        </w:rPr>
        <w:t xml:space="preserve"> учнів та розвитку їх творчого потенціалу, що визначено у навчальних програмах.</w:t>
      </w:r>
    </w:p>
    <w:p w:rsidR="00590D2B" w:rsidRPr="00234228" w:rsidRDefault="00590D2B" w:rsidP="00234228">
      <w:pPr>
        <w:spacing w:after="0" w:line="360" w:lineRule="auto"/>
        <w:ind w:firstLine="715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Навчання хімії у закладах з</w:t>
      </w:r>
      <w:r w:rsidR="0085306B"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агальної середньої освіти у 2020/2021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навчальному році</w:t>
      </w:r>
      <w:r w:rsidRPr="002342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здійснюватиметься за такими </w:t>
      </w:r>
      <w:r w:rsidRPr="0023422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навчальними програмами</w:t>
      </w:r>
      <w:r w:rsidRPr="0023422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: </w:t>
      </w:r>
    </w:p>
    <w:p w:rsidR="00590D2B" w:rsidRPr="00234228" w:rsidRDefault="00590D2B" w:rsidP="00234228">
      <w:pPr>
        <w:spacing w:after="0" w:line="36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7 - 9 класи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Програма для загальноосвітніх навчальних закладів. Хімія. 7-9 класи, затверджена наказом МОН України від 07.06.2017 № 804. Програму розміщено на офіційному веб-сайті Міністерства (</w:t>
      </w:r>
      <w:hyperlink r:id="rId6" w:history="1">
        <w:r w:rsidRPr="0023422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https://goo.gl/GDh9gC</w:t>
        </w:r>
      </w:hyperlink>
      <w:r w:rsidRPr="0023422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).</w:t>
      </w:r>
    </w:p>
    <w:p w:rsidR="0085306B" w:rsidRPr="00234228" w:rsidRDefault="00590D2B" w:rsidP="00234228">
      <w:pPr>
        <w:spacing w:after="0" w:line="360" w:lineRule="auto"/>
        <w:ind w:firstLine="71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 – 11 класи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</w:p>
    <w:p w:rsidR="00590D2B" w:rsidRPr="00234228" w:rsidRDefault="00590D2B" w:rsidP="00234228">
      <w:pPr>
        <w:spacing w:after="0" w:line="360" w:lineRule="auto"/>
        <w:ind w:firstLine="714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з хімії для 10–11 класів закладів загальної середньої освіти. Рівень стандарту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(затверджена наказом МОН України від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</w:t>
      </w:r>
      <w:r w:rsidR="0085306B"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1407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).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розміщено на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веб-сайті Міністерства 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(</w:t>
      </w:r>
      <w:hyperlink r:id="rId7" w:history="1">
        <w:r w:rsidRPr="0023422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https://goo.gl/fwh2BR</w:t>
        </w:r>
      </w:hyperlink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);</w:t>
      </w:r>
    </w:p>
    <w:p w:rsidR="00590D2B" w:rsidRPr="00234228" w:rsidRDefault="00590D2B" w:rsidP="00234228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Програма з хімії для 10–11 класів закладів загальної середньої освіти. Профільний рівень 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(затверджена наказом МОН України від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>23.10.2017 № 1407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).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Програму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 xml:space="preserve"> розміщено на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офіційному веб-сайті Міністерства </w:t>
      </w:r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(</w:t>
      </w:r>
      <w:hyperlink r:id="rId8" w:history="1">
        <w:r w:rsidRPr="0023422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https://goo.gl/fwh2BR</w:t>
        </w:r>
      </w:hyperlink>
      <w:r w:rsidRPr="00234228">
        <w:rPr>
          <w:rFonts w:ascii="Times New Roman" w:eastAsia="Times New Roman" w:hAnsi="Times New Roman" w:cs="Times New Roman"/>
          <w:kern w:val="32"/>
          <w:sz w:val="28"/>
          <w:szCs w:val="28"/>
          <w:lang w:eastAsia="uk-UA"/>
        </w:rPr>
        <w:t>).</w:t>
      </w:r>
    </w:p>
    <w:p w:rsidR="0085306B" w:rsidRPr="00234228" w:rsidRDefault="0085306B" w:rsidP="00234228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 xml:space="preserve">Навчання хімії в основній школі у 2020/2021 </w:t>
      </w:r>
      <w:proofErr w:type="spellStart"/>
      <w:r w:rsidRPr="00234228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234228">
        <w:rPr>
          <w:rFonts w:ascii="Times New Roman" w:hAnsi="Times New Roman" w:cs="Times New Roman"/>
          <w:sz w:val="28"/>
          <w:szCs w:val="28"/>
        </w:rPr>
        <w:t>. здійснюватиметься за типовим навчальним планом із таким розподілом годин (для рівня стандарт):</w:t>
      </w:r>
    </w:p>
    <w:p w:rsidR="0085306B" w:rsidRPr="00234228" w:rsidRDefault="0085306B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7 кл. – 1,5 год./тиждень (51 год./рік),</w:t>
      </w:r>
    </w:p>
    <w:p w:rsidR="0085306B" w:rsidRPr="00234228" w:rsidRDefault="0085306B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lastRenderedPageBreak/>
        <w:t>8 кл. – 2 год./тиждень (68 год./рік),</w:t>
      </w:r>
    </w:p>
    <w:p w:rsidR="0085306B" w:rsidRPr="00234228" w:rsidRDefault="0085306B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9 кл. – 2 год./тиждень (68 год./рік),</w:t>
      </w:r>
    </w:p>
    <w:p w:rsidR="0085306B" w:rsidRDefault="0085306B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10 кл. – 1,5 год./тиждень ( 52</w:t>
      </w:r>
      <w:r w:rsidR="00234228">
        <w:rPr>
          <w:rFonts w:ascii="Times New Roman" w:hAnsi="Times New Roman" w:cs="Times New Roman"/>
          <w:sz w:val="28"/>
          <w:szCs w:val="28"/>
        </w:rPr>
        <w:t xml:space="preserve"> </w:t>
      </w:r>
      <w:r w:rsidRPr="00234228">
        <w:rPr>
          <w:rFonts w:ascii="Times New Roman" w:hAnsi="Times New Roman" w:cs="Times New Roman"/>
          <w:sz w:val="28"/>
          <w:szCs w:val="28"/>
        </w:rPr>
        <w:t>год./рік).</w:t>
      </w:r>
    </w:p>
    <w:p w:rsidR="00234228" w:rsidRPr="00234228" w:rsidRDefault="00234228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</w:t>
      </w:r>
      <w:r w:rsidR="00C82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2 год./тиждень (70 год/рік)</w:t>
      </w:r>
    </w:p>
    <w:p w:rsidR="00C82D5F" w:rsidRPr="00234228" w:rsidRDefault="00C82D5F" w:rsidP="00C82D5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Профільний рівень</w:t>
      </w:r>
    </w:p>
    <w:p w:rsidR="0085306B" w:rsidRDefault="0085306B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10 кл. – 4 год./тиждень (140 год./рік).</w:t>
      </w:r>
    </w:p>
    <w:p w:rsidR="00C82D5F" w:rsidRPr="00234228" w:rsidRDefault="00C82D5F" w:rsidP="00234228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кл. –</w:t>
      </w:r>
      <w:r w:rsidR="00CF30F5">
        <w:rPr>
          <w:rFonts w:ascii="Times New Roman" w:hAnsi="Times New Roman" w:cs="Times New Roman"/>
          <w:sz w:val="28"/>
          <w:szCs w:val="28"/>
        </w:rPr>
        <w:t>6 год./тиждень (210</w:t>
      </w:r>
      <w:r w:rsidRPr="00234228">
        <w:rPr>
          <w:rFonts w:ascii="Times New Roman" w:hAnsi="Times New Roman" w:cs="Times New Roman"/>
          <w:sz w:val="28"/>
          <w:szCs w:val="28"/>
        </w:rPr>
        <w:t xml:space="preserve"> год./рік).</w:t>
      </w:r>
    </w:p>
    <w:p w:rsidR="00590D2B" w:rsidRPr="00234228" w:rsidRDefault="00590D2B" w:rsidP="00234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Програми позбавлені поурочного поділу. Вчитель може самостійно розподіляти навчальні години і визначати послідовність розкриття навчального матеріалу в межах окремої теми, але так, щоб не порушувалась логіка його викладу. </w:t>
      </w:r>
    </w:p>
    <w:p w:rsidR="00234228" w:rsidRPr="00A367AC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 xml:space="preserve">Під час складання календарно-тематичного планування з хімії на шкільному методичному об’єднанні природничо-математичних дисциплін важливо обговорити послідовність вивчення тем та узгодити порядок викладання тем з різних предметів у межах паралелі класів. Тільки після цього погодити узгоджені календарно-тематичні планування на засіданні шкільного м/о і затвердити в адміністрації закладу освіти. Автономія вчителів під час переходу на новий Державний стандарт та впровадження Концепції Нової української школи передбачає, що вчителі в межах свого закладу освіти оберуть вірну освітню траєкторію, спрямовану на розвиток в учнів предметних </w:t>
      </w:r>
      <w:proofErr w:type="spellStart"/>
      <w:r w:rsidRPr="00234228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234228">
        <w:rPr>
          <w:rFonts w:ascii="Times New Roman" w:hAnsi="Times New Roman" w:cs="Times New Roman"/>
          <w:sz w:val="28"/>
          <w:szCs w:val="28"/>
        </w:rPr>
        <w:t xml:space="preserve">. Також важливо спланувати контролі </w:t>
      </w:r>
      <w:proofErr w:type="spellStart"/>
      <w:r w:rsidR="00A64D1D" w:rsidRPr="00A367A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64D1D" w:rsidRPr="00A367AC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A367AC">
        <w:rPr>
          <w:rFonts w:ascii="Times New Roman" w:hAnsi="Times New Roman" w:cs="Times New Roman"/>
          <w:sz w:val="28"/>
          <w:szCs w:val="28"/>
        </w:rPr>
        <w:t xml:space="preserve"> та узгодити їх із іншими предметами, бо досить часто підсумкові контрольні роботи припадають з декількох предметів на один день.</w:t>
      </w:r>
    </w:p>
    <w:p w:rsidR="00234228" w:rsidRPr="00234228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7A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64D1D" w:rsidRPr="00A367AC">
        <w:rPr>
          <w:rFonts w:ascii="Times New Roman" w:hAnsi="Times New Roman" w:cs="Times New Roman"/>
          <w:sz w:val="28"/>
          <w:szCs w:val="28"/>
        </w:rPr>
        <w:t xml:space="preserve">перевірки сформованості </w:t>
      </w:r>
      <w:proofErr w:type="spellStart"/>
      <w:r w:rsidR="00A64D1D" w:rsidRPr="00A367A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A64D1D" w:rsidRPr="00A367AC">
        <w:rPr>
          <w:rFonts w:ascii="Times New Roman" w:hAnsi="Times New Roman" w:cs="Times New Roman"/>
          <w:sz w:val="28"/>
          <w:szCs w:val="28"/>
        </w:rPr>
        <w:t xml:space="preserve"> здобувачів освіти</w:t>
      </w:r>
      <w:r w:rsidRPr="00234228">
        <w:rPr>
          <w:rFonts w:ascii="Times New Roman" w:hAnsi="Times New Roman" w:cs="Times New Roman"/>
          <w:sz w:val="28"/>
          <w:szCs w:val="28"/>
        </w:rPr>
        <w:t xml:space="preserve"> можна проводити як в окремих зошитах або на аркушах, так і у друкованих зошитах для тематичного контролю знань з хімії. Їх необхідно зберігати в кабінеті хімії упродовж року. Зауважуємо на обов’язковому проведенні однієї контрольної роботи впродовж семестру, двох – за рік.</w:t>
      </w:r>
    </w:p>
    <w:p w:rsidR="00234228" w:rsidRPr="00234228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lastRenderedPageBreak/>
        <w:t>Практичні роботи оцінюються всі, лабораторні досліди – вибірково, на розсуд вчителя. Відпрацювання пропущених практичних робіт проводити недоцільно.</w:t>
      </w:r>
      <w:r w:rsidR="00C82D5F">
        <w:rPr>
          <w:rFonts w:ascii="Times New Roman" w:hAnsi="Times New Roman" w:cs="Times New Roman"/>
          <w:sz w:val="28"/>
          <w:szCs w:val="28"/>
        </w:rPr>
        <w:t xml:space="preserve"> </w:t>
      </w:r>
      <w:r w:rsidRPr="00234228">
        <w:rPr>
          <w:rFonts w:ascii="Times New Roman" w:hAnsi="Times New Roman" w:cs="Times New Roman"/>
          <w:sz w:val="28"/>
          <w:szCs w:val="28"/>
        </w:rPr>
        <w:t>Оцінка за ведення зошитів із хімії не виставляється.</w:t>
      </w:r>
      <w:r w:rsidR="00C82D5F">
        <w:rPr>
          <w:rFonts w:ascii="Times New Roman" w:hAnsi="Times New Roman" w:cs="Times New Roman"/>
          <w:sz w:val="28"/>
          <w:szCs w:val="28"/>
        </w:rPr>
        <w:t xml:space="preserve"> </w:t>
      </w:r>
      <w:r w:rsidRPr="00234228">
        <w:rPr>
          <w:rFonts w:ascii="Times New Roman" w:hAnsi="Times New Roman" w:cs="Times New Roman"/>
          <w:sz w:val="28"/>
          <w:szCs w:val="28"/>
        </w:rPr>
        <w:t>Тематична оцінка коригуванню не підлягає.</w:t>
      </w:r>
    </w:p>
    <w:p w:rsidR="00234228" w:rsidRPr="00234228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Для оцінювання начальних досягнень учнів 7 – 11 класів керуватися Критеріями оцінювання навчальних досягнень учнів у системі загальної середньої освіти, затвердженими на</w:t>
      </w:r>
      <w:r w:rsidR="00C82D5F">
        <w:rPr>
          <w:rFonts w:ascii="Times New Roman" w:hAnsi="Times New Roman" w:cs="Times New Roman"/>
          <w:sz w:val="28"/>
          <w:szCs w:val="28"/>
        </w:rPr>
        <w:t>казом МОН від 21.08.2013 №</w:t>
      </w:r>
      <w:r w:rsidR="00C82D5F" w:rsidRPr="00A367AC">
        <w:rPr>
          <w:rFonts w:ascii="Times New Roman" w:hAnsi="Times New Roman" w:cs="Times New Roman"/>
          <w:sz w:val="28"/>
          <w:szCs w:val="28"/>
        </w:rPr>
        <w:t>1222;</w:t>
      </w:r>
    </w:p>
    <w:p w:rsidR="00234228" w:rsidRPr="00234228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Обов’язковими видами оцінювання й надалі залишаються: поточне, тематичне, семестрове та річне. Мінімальна кількість тематичних оцінок відповідно до кількості навчальних годин за рік: 35 годин – 4 тематичні; 70 годин – 6 тематичних; 140 годин – 8 тематичних. Необхідність збільшення кількості тематичних визначається учителем.</w:t>
      </w:r>
    </w:p>
    <w:p w:rsidR="00234228" w:rsidRPr="00234228" w:rsidRDefault="00234228" w:rsidP="002342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 xml:space="preserve">Звертаємо увагу учителів на складання завдань для проведення контролю знань учнів. Завдання повинні бути різного рівня складності відповідно до критеріїв оцінювання. До контрольної роботи рекомендуємо включати питання, що потребують різноманітних </w:t>
      </w:r>
      <w:proofErr w:type="spellStart"/>
      <w:r w:rsidRPr="00234228">
        <w:rPr>
          <w:rFonts w:ascii="Times New Roman" w:hAnsi="Times New Roman" w:cs="Times New Roman"/>
          <w:sz w:val="28"/>
          <w:szCs w:val="28"/>
        </w:rPr>
        <w:t>мисленнєвих</w:t>
      </w:r>
      <w:proofErr w:type="spellEnd"/>
      <w:r w:rsidRPr="00234228">
        <w:rPr>
          <w:rFonts w:ascii="Times New Roman" w:hAnsi="Times New Roman" w:cs="Times New Roman"/>
          <w:sz w:val="28"/>
          <w:szCs w:val="28"/>
        </w:rPr>
        <w:t xml:space="preserve"> операцій, задачі, графічні завдання тощо. З метою реалізації </w:t>
      </w:r>
      <w:proofErr w:type="spellStart"/>
      <w:r w:rsidR="00C82D5F">
        <w:rPr>
          <w:rFonts w:ascii="Times New Roman" w:hAnsi="Times New Roman" w:cs="Times New Roman"/>
          <w:sz w:val="28"/>
          <w:szCs w:val="28"/>
        </w:rPr>
        <w:t>компетентнісного</w:t>
      </w:r>
      <w:proofErr w:type="spellEnd"/>
      <w:r w:rsidR="00C82D5F">
        <w:rPr>
          <w:rFonts w:ascii="Times New Roman" w:hAnsi="Times New Roman" w:cs="Times New Roman"/>
          <w:sz w:val="28"/>
          <w:szCs w:val="28"/>
        </w:rPr>
        <w:t xml:space="preserve"> та особистісно-</w:t>
      </w:r>
      <w:r w:rsidRPr="00234228">
        <w:rPr>
          <w:rFonts w:ascii="Times New Roman" w:hAnsi="Times New Roman" w:cs="Times New Roman"/>
          <w:sz w:val="28"/>
          <w:szCs w:val="28"/>
        </w:rPr>
        <w:t>зорієнтованого підходів, виховання особистості, яка не тільки володіє знаннями, а й здатна нестандартно й самостійно діяти у різноманітних життєвих ситуаціях, застосовуючи власні знання й досвід, рекомендуємо використовувати у практичній діяльності різноманітні методи навчання: проблемно-пошукові, кейс-технології, метод навчальних проектів, інтерактивні тощо.</w:t>
      </w:r>
    </w:p>
    <w:p w:rsidR="00590D2B" w:rsidRPr="00234228" w:rsidRDefault="00590D2B" w:rsidP="0023422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Варіативна складова навчальних планів до типових освітніх програм може використовуватись на підсилення предметів інваріантної складової. У такому разі розподіл годин на вивчення тієї чи іншої теми навчальної програми здійснюється вчителем самостійно і фіксується у календарно-тематичному плані, який погоджується керівником навчального закладу чи його заступником. Вчитель записує проведені уроки на сторінках класного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журналу, відведених для навчального предмета, на підсилення якого використано зазначені години.</w:t>
      </w:r>
    </w:p>
    <w:p w:rsidR="00590D2B" w:rsidRPr="00234228" w:rsidRDefault="00590D2B" w:rsidP="0023422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Одним із шляхів диференціації та індивідуалізації навчання є впровадження в шкільну практику системи курсів за вибором та факультативів, які реалізуються за рахунок варіативного компонента змісту освіти і доповнюють та поглиблюють зміст навчального предмета. </w:t>
      </w:r>
    </w:p>
    <w:p w:rsidR="00590D2B" w:rsidRPr="00234228" w:rsidRDefault="00590D2B" w:rsidP="00234228">
      <w:pPr>
        <w:widowControl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Зміс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Pr="00234228">
        <w:rPr>
          <w:rFonts w:ascii="Times New Roman" w:eastAsia="Times New Roman" w:hAnsi="Times New Roman" w:cs="Times New Roman"/>
          <w:spacing w:val="3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34228">
        <w:rPr>
          <w:rFonts w:ascii="Times New Roman" w:eastAsia="Times New Roman" w:hAnsi="Times New Roman" w:cs="Times New Roman"/>
          <w:spacing w:val="36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виборо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234228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факул</w:t>
      </w:r>
      <w:r w:rsidRPr="00234228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тативі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в</w:t>
      </w:r>
      <w:r w:rsidRPr="00234228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34228">
        <w:rPr>
          <w:rFonts w:ascii="Times New Roman" w:eastAsia="Times New Roman" w:hAnsi="Times New Roman" w:cs="Times New Roman"/>
          <w:spacing w:val="1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4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кількіст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годи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 xml:space="preserve">та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клас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34228">
        <w:rPr>
          <w:rFonts w:ascii="Times New Roman" w:eastAsia="Times New Roman" w:hAnsi="Times New Roman" w:cs="Times New Roman"/>
          <w:spacing w:val="2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34228"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яком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пропонуєтьс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13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ї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Pr="00234228">
        <w:rPr>
          <w:rFonts w:ascii="Times New Roman" w:eastAsia="Times New Roman" w:hAnsi="Times New Roman" w:cs="Times New Roman"/>
          <w:spacing w:val="23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вивчення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,</w:t>
      </w:r>
      <w:r w:rsidRPr="00234228">
        <w:rPr>
          <w:rFonts w:ascii="Times New Roman" w:eastAsia="Times New Roman" w:hAnsi="Times New Roman" w:cs="Times New Roman"/>
          <w:spacing w:val="12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234228">
        <w:rPr>
          <w:rFonts w:ascii="Times New Roman" w:eastAsia="Times New Roman" w:hAnsi="Times New Roman" w:cs="Times New Roman"/>
          <w:spacing w:val="25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орієнтовним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.</w:t>
      </w:r>
      <w:r w:rsidRPr="00234228">
        <w:rPr>
          <w:rFonts w:ascii="Times New Roman" w:eastAsia="Times New Roman" w:hAnsi="Times New Roman" w:cs="Times New Roman"/>
          <w:spacing w:val="13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6"/>
          <w:w w:val="108"/>
          <w:sz w:val="28"/>
          <w:szCs w:val="28"/>
          <w:lang w:eastAsia="uk-UA"/>
        </w:rPr>
        <w:t>У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чител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23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уть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творчо підходит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реалізаці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ї</w:t>
      </w:r>
      <w:r w:rsidRPr="00234228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зміст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ци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програм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ураховуюч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кількіст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36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годи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ділени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н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вивченн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32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вибором (факул</w:t>
      </w:r>
      <w:r w:rsidRPr="00234228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тативу)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,</w:t>
      </w:r>
      <w:r w:rsidRPr="00234228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інтерес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т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 xml:space="preserve">здібності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учнів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34228">
        <w:rPr>
          <w:rFonts w:ascii="Times New Roman" w:eastAsia="Times New Roman" w:hAnsi="Times New Roman" w:cs="Times New Roman"/>
          <w:spacing w:val="41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потреб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регіон</w:t>
      </w:r>
      <w:r w:rsidRPr="00234228">
        <w:rPr>
          <w:rFonts w:ascii="Times New Roman" w:eastAsia="Times New Roman" w:hAnsi="Times New Roman" w:cs="Times New Roman"/>
          <w:spacing w:val="-19"/>
          <w:sz w:val="28"/>
          <w:szCs w:val="28"/>
          <w:lang w:eastAsia="uk-UA"/>
        </w:rPr>
        <w:t>у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можливост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21"/>
          <w:w w:val="108"/>
          <w:sz w:val="28"/>
          <w:szCs w:val="28"/>
          <w:lang w:eastAsia="uk-UA"/>
        </w:rPr>
        <w:t xml:space="preserve"> </w:t>
      </w:r>
      <w:proofErr w:type="spellStart"/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навчально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softHyphen/>
        <w:t>матеріально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ї</w:t>
      </w:r>
      <w:proofErr w:type="spellEnd"/>
      <w:r w:rsidRPr="00234228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баз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закладу освіти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34228">
        <w:rPr>
          <w:rFonts w:ascii="Times New Roman" w:eastAsia="Times New Roman" w:hAnsi="Times New Roman" w:cs="Times New Roman"/>
          <w:spacing w:val="-1"/>
          <w:w w:val="111"/>
          <w:sz w:val="28"/>
          <w:szCs w:val="28"/>
          <w:lang w:eastAsia="uk-UA"/>
        </w:rPr>
        <w:t>Окре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розділ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запропоновани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х</w:t>
      </w:r>
      <w:r w:rsidRPr="00234228">
        <w:rPr>
          <w:rFonts w:ascii="Times New Roman" w:eastAsia="Times New Roman" w:hAnsi="Times New Roman" w:cs="Times New Roman"/>
          <w:spacing w:val="29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234228"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збірника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х</w:t>
      </w:r>
      <w:r w:rsidRPr="00234228">
        <w:rPr>
          <w:rFonts w:ascii="Times New Roman" w:eastAsia="Times New Roman" w:hAnsi="Times New Roman" w:cs="Times New Roman"/>
          <w:spacing w:val="29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програ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можут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33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вивчатис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28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34228">
        <w:rPr>
          <w:rFonts w:ascii="Times New Roman" w:eastAsia="Times New Roman" w:hAnsi="Times New Roman" w:cs="Times New Roman"/>
          <w:spacing w:val="13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само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стійн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вибором.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Слі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зазначити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,</w:t>
      </w:r>
      <w:r w:rsidRPr="00234228">
        <w:rPr>
          <w:rFonts w:ascii="Times New Roman" w:eastAsia="Times New Roman" w:hAnsi="Times New Roman" w:cs="Times New Roman"/>
          <w:spacing w:val="6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щ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34228">
        <w:rPr>
          <w:rFonts w:ascii="Times New Roman" w:eastAsia="Times New Roman" w:hAnsi="Times New Roman" w:cs="Times New Roman"/>
          <w:spacing w:val="22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навчальн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14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>програм</w:t>
      </w:r>
      <w:r w:rsidRPr="00234228">
        <w:rPr>
          <w:rFonts w:ascii="Times New Roman" w:eastAsia="Times New Roman" w:hAnsi="Times New Roman" w:cs="Times New Roman"/>
          <w:w w:val="108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7"/>
          <w:w w:val="10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234228">
        <w:rPr>
          <w:rFonts w:ascii="Times New Roman" w:eastAsia="Times New Roman" w:hAnsi="Times New Roman" w:cs="Times New Roman"/>
          <w:spacing w:val="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234228"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виборо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234228">
        <w:rPr>
          <w:rFonts w:ascii="Times New Roman" w:eastAsia="Times New Roman" w:hAnsi="Times New Roman" w:cs="Times New Roman"/>
          <w:spacing w:val="16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можн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використовуват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тако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ж</w:t>
      </w:r>
      <w:r w:rsidRPr="00234228">
        <w:rPr>
          <w:rFonts w:ascii="Times New Roman" w:eastAsia="Times New Roman" w:hAnsi="Times New Roman" w:cs="Times New Roman"/>
          <w:spacing w:val="31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дл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проведенн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32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факул</w:t>
      </w:r>
      <w:r w:rsidRPr="00234228">
        <w:rPr>
          <w:rFonts w:ascii="Times New Roman" w:eastAsia="Times New Roman" w:hAnsi="Times New Roman" w:cs="Times New Roman"/>
          <w:spacing w:val="-14"/>
          <w:w w:val="109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тативни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х</w:t>
      </w:r>
      <w:r w:rsidRPr="00234228">
        <w:rPr>
          <w:rFonts w:ascii="Times New Roman" w:eastAsia="Times New Roman" w:hAnsi="Times New Roman" w:cs="Times New Roman"/>
          <w:spacing w:val="43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занят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34228">
        <w:rPr>
          <w:rFonts w:ascii="Times New Roman" w:eastAsia="Times New Roman" w:hAnsi="Times New Roman" w:cs="Times New Roman"/>
          <w:spacing w:val="38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навпаки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234228">
        <w:rPr>
          <w:rFonts w:ascii="Times New Roman" w:eastAsia="Times New Roman" w:hAnsi="Times New Roman" w:cs="Times New Roman"/>
          <w:spacing w:val="-1"/>
          <w:w w:val="108"/>
          <w:sz w:val="28"/>
          <w:szCs w:val="28"/>
          <w:lang w:eastAsia="uk-UA"/>
        </w:rPr>
        <w:t xml:space="preserve">програми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факул</w:t>
      </w:r>
      <w:r w:rsidRPr="00234228">
        <w:rPr>
          <w:rFonts w:ascii="Times New Roman" w:eastAsia="Times New Roman" w:hAnsi="Times New Roman" w:cs="Times New Roman"/>
          <w:spacing w:val="-14"/>
          <w:w w:val="110"/>
          <w:sz w:val="28"/>
          <w:szCs w:val="28"/>
          <w:lang w:eastAsia="uk-UA"/>
        </w:rPr>
        <w:t>ь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тативі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в</w:t>
      </w:r>
      <w:r w:rsidRPr="00234228">
        <w:rPr>
          <w:rFonts w:ascii="Times New Roman" w:eastAsia="Times New Roman" w:hAnsi="Times New Roman" w:cs="Times New Roman"/>
          <w:spacing w:val="35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можн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09"/>
          <w:sz w:val="28"/>
          <w:szCs w:val="28"/>
          <w:lang w:eastAsia="uk-UA"/>
        </w:rPr>
        <w:t>використовуват</w:t>
      </w:r>
      <w:r w:rsidRPr="00234228">
        <w:rPr>
          <w:rFonts w:ascii="Times New Roman" w:eastAsia="Times New Roman" w:hAnsi="Times New Roman" w:cs="Times New Roman"/>
          <w:w w:val="109"/>
          <w:sz w:val="28"/>
          <w:szCs w:val="28"/>
          <w:lang w:eastAsia="uk-UA"/>
        </w:rPr>
        <w:t>и</w:t>
      </w:r>
      <w:r w:rsidRPr="00234228">
        <w:rPr>
          <w:rFonts w:ascii="Times New Roman" w:eastAsia="Times New Roman" w:hAnsi="Times New Roman" w:cs="Times New Roman"/>
          <w:spacing w:val="34"/>
          <w:w w:val="109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дл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24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w w:val="110"/>
          <w:sz w:val="28"/>
          <w:szCs w:val="28"/>
          <w:lang w:eastAsia="uk-UA"/>
        </w:rPr>
        <w:t>викладанн</w:t>
      </w:r>
      <w:r w:rsidRPr="00234228">
        <w:rPr>
          <w:rFonts w:ascii="Times New Roman" w:eastAsia="Times New Roman" w:hAnsi="Times New Roman" w:cs="Times New Roman"/>
          <w:w w:val="110"/>
          <w:sz w:val="28"/>
          <w:szCs w:val="28"/>
          <w:lang w:eastAsia="uk-UA"/>
        </w:rPr>
        <w:t>я</w:t>
      </w:r>
      <w:r w:rsidRPr="00234228">
        <w:rPr>
          <w:rFonts w:ascii="Times New Roman" w:eastAsia="Times New Roman" w:hAnsi="Times New Roman" w:cs="Times New Roman"/>
          <w:spacing w:val="33"/>
          <w:w w:val="110"/>
          <w:sz w:val="28"/>
          <w:szCs w:val="28"/>
          <w:lang w:eastAsia="uk-UA"/>
        </w:rPr>
        <w:t xml:space="preserve">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курсі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Pr="00234228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з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</w:t>
      </w:r>
      <w:r w:rsidRPr="00234228">
        <w:rPr>
          <w:rFonts w:ascii="Times New Roman" w:eastAsia="Times New Roman" w:hAnsi="Times New Roman" w:cs="Times New Roman"/>
          <w:spacing w:val="-1"/>
          <w:w w:val="107"/>
          <w:sz w:val="28"/>
          <w:szCs w:val="28"/>
          <w:lang w:eastAsia="uk-UA"/>
        </w:rPr>
        <w:t>вибором.</w:t>
      </w:r>
    </w:p>
    <w:p w:rsidR="00234228" w:rsidRPr="00234228" w:rsidRDefault="00234228" w:rsidP="00C82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228">
        <w:rPr>
          <w:rFonts w:ascii="Times New Roman" w:hAnsi="Times New Roman" w:cs="Times New Roman"/>
          <w:sz w:val="28"/>
          <w:szCs w:val="28"/>
        </w:rPr>
        <w:t>Нижче подається перелік навчальних програм факультативів та курсів за вибором з хімії, рекомендованих МОН України.</w:t>
      </w:r>
    </w:p>
    <w:p w:rsidR="00234228" w:rsidRPr="00234228" w:rsidRDefault="00234228" w:rsidP="00234228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228">
        <w:rPr>
          <w:rFonts w:ascii="Times New Roman" w:hAnsi="Times New Roman" w:cs="Times New Roman"/>
          <w:b/>
          <w:sz w:val="28"/>
          <w:szCs w:val="28"/>
        </w:rPr>
        <w:t>Перелік навчальних програм для реалізації варіативної складової навчальних планів ЗЗСО, рекомендованих МОН України</w:t>
      </w:r>
    </w:p>
    <w:tbl>
      <w:tblPr>
        <w:tblStyle w:val="TableNormal"/>
        <w:tblW w:w="978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850"/>
        <w:gridCol w:w="1843"/>
        <w:gridCol w:w="2410"/>
      </w:tblGrid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C82D5F">
            <w:pPr>
              <w:ind w:firstLine="19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b/>
                <w:sz w:val="24"/>
                <w:szCs w:val="24"/>
                <w:lang w:eastAsia="uk"/>
              </w:rPr>
              <w:t>№ з/п</w:t>
            </w:r>
          </w:p>
        </w:tc>
        <w:tc>
          <w:tcPr>
            <w:tcW w:w="3969" w:type="dxa"/>
            <w:vAlign w:val="center"/>
          </w:tcPr>
          <w:p w:rsidR="00234228" w:rsidRPr="00C82D5F" w:rsidRDefault="00234228" w:rsidP="00C82D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b/>
                <w:sz w:val="24"/>
                <w:szCs w:val="24"/>
                <w:lang w:eastAsia="uk"/>
              </w:rPr>
              <w:t>Назва програми, автор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C82D5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b/>
                <w:sz w:val="24"/>
                <w:szCs w:val="24"/>
                <w:lang w:eastAsia="uk"/>
              </w:rPr>
              <w:t>Класи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C82D5F">
            <w:pPr>
              <w:tabs>
                <w:tab w:val="left" w:pos="16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b/>
                <w:sz w:val="24"/>
                <w:szCs w:val="24"/>
                <w:lang w:eastAsia="uk"/>
              </w:rPr>
              <w:t>Де опублікована</w:t>
            </w:r>
          </w:p>
        </w:tc>
        <w:tc>
          <w:tcPr>
            <w:tcW w:w="2410" w:type="dxa"/>
            <w:vAlign w:val="center"/>
          </w:tcPr>
          <w:p w:rsidR="00234228" w:rsidRPr="00C82D5F" w:rsidRDefault="00234228" w:rsidP="00C82D5F">
            <w:pPr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b/>
                <w:sz w:val="24"/>
                <w:szCs w:val="24"/>
                <w:lang w:eastAsia="uk"/>
              </w:rPr>
              <w:t>Реквізити документа про схвалення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Навчальна програма з курсу «Абетка самоосвіти школяра з хімії» (автор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Коростіль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Л.А.)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7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15.04.2016 № 2.1/12-Г-150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Навчальна програма факультативного курсу «Розвиток хімічної науки та його зв'язок із сучасною хімією» (автор Стеценко І.В.)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7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04.05.2017 № 2.1/12-Г-96</w:t>
            </w:r>
          </w:p>
        </w:tc>
      </w:tr>
      <w:tr w:rsidR="00234228" w:rsidRPr="00234228" w:rsidTr="0062720F">
        <w:trPr>
          <w:trHeight w:val="1825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Навчальна програма факультативного курсу «Окисно-відновні реакції»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10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КВНЗ Київської обласної ради "Академія неперервної освіти"</w:t>
            </w: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11.05.2016 № 2.1/12-Г-216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Навчальна програма курсу за вибором «Основи хімічної технології» (автор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Нетрибійчук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О.С.)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10, 11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27.04.2017 № 2.1/12-Г-90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Навчальна програма курсу за вибором «Хімія полімерів» (автори Скляр А.М.,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Сударева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Г.Ф.,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Матейко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А.В.)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15.04.2016 № 2.1/12-Г-149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Навчальна програма курсу за вибором з хімії «Сучасні технології та матеріали» (автор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Нетрибійчук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О.С.)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26.12.2019 № 22.1/12-Г-1205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Розв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val="ru-RU" w:eastAsia="uk"/>
              </w:rPr>
              <w:t>’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язування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задач з хімії. 10-11 клас (автор </w:t>
            </w:r>
            <w:proofErr w:type="spellStart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Вороненко</w:t>
            </w:r>
            <w:proofErr w:type="spellEnd"/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 xml:space="preserve"> Т.І.)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10-11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12.11.2019 № 22.1/12-Г-1058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Навчальна програма курсу за вибором «Органічні речовини. 11 клас » (автор Величко Л.П.)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17.02.2020 № 22.1/12-Г-129</w:t>
            </w:r>
          </w:p>
        </w:tc>
      </w:tr>
      <w:tr w:rsidR="00234228" w:rsidRPr="00234228" w:rsidTr="0062720F">
        <w:trPr>
          <w:trHeight w:val="471"/>
        </w:trPr>
        <w:tc>
          <w:tcPr>
            <w:tcW w:w="710" w:type="dxa"/>
            <w:vAlign w:val="center"/>
          </w:tcPr>
          <w:p w:rsidR="00234228" w:rsidRPr="00C82D5F" w:rsidRDefault="00234228" w:rsidP="00234228">
            <w:pPr>
              <w:pStyle w:val="a4"/>
              <w:numPr>
                <w:ilvl w:val="0"/>
                <w:numId w:val="2"/>
              </w:numPr>
              <w:spacing w:line="360" w:lineRule="auto"/>
              <w:ind w:left="0" w:hanging="284"/>
              <w:jc w:val="center"/>
              <w:rPr>
                <w:rFonts w:ascii="Times New Roman" w:hAnsi="Times New Roman"/>
                <w:b/>
                <w:sz w:val="24"/>
                <w:szCs w:val="24"/>
                <w:lang w:eastAsia="uk"/>
              </w:rPr>
            </w:pPr>
          </w:p>
        </w:tc>
        <w:tc>
          <w:tcPr>
            <w:tcW w:w="3969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Навчальна програма курсу за вибором «Біоорганічна хімія. 11 клас » (автор Величко Л.П.)</w:t>
            </w:r>
          </w:p>
        </w:tc>
        <w:tc>
          <w:tcPr>
            <w:tcW w:w="850" w:type="dxa"/>
            <w:vAlign w:val="center"/>
          </w:tcPr>
          <w:p w:rsidR="00234228" w:rsidRPr="00C82D5F" w:rsidRDefault="00234228" w:rsidP="0023422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11</w:t>
            </w:r>
          </w:p>
        </w:tc>
        <w:tc>
          <w:tcPr>
            <w:tcW w:w="1843" w:type="dxa"/>
            <w:vAlign w:val="center"/>
          </w:tcPr>
          <w:p w:rsidR="00234228" w:rsidRPr="00C82D5F" w:rsidRDefault="00234228" w:rsidP="00234228">
            <w:pPr>
              <w:tabs>
                <w:tab w:val="left" w:pos="1628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</w:p>
        </w:tc>
        <w:tc>
          <w:tcPr>
            <w:tcW w:w="2410" w:type="dxa"/>
            <w:vAlign w:val="center"/>
          </w:tcPr>
          <w:p w:rsidR="00234228" w:rsidRPr="00C82D5F" w:rsidRDefault="00234228" w:rsidP="0023422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uk"/>
              </w:rPr>
            </w:pPr>
            <w:r w:rsidRPr="00C82D5F">
              <w:rPr>
                <w:rFonts w:ascii="Times New Roman" w:hAnsi="Times New Roman"/>
                <w:sz w:val="24"/>
                <w:szCs w:val="24"/>
                <w:lang w:eastAsia="uk"/>
              </w:rPr>
              <w:t>Лист ІМЗО від 17.02.2020 № 22.1/12-Г-130</w:t>
            </w:r>
          </w:p>
        </w:tc>
      </w:tr>
    </w:tbl>
    <w:p w:rsidR="00590D2B" w:rsidRPr="00234228" w:rsidRDefault="00590D2B" w:rsidP="00234228">
      <w:pPr>
        <w:widowControl w:val="0"/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50"/>
          <w:tab w:val="left" w:pos="6803"/>
          <w:tab w:val="left" w:pos="7257"/>
        </w:tabs>
        <w:autoSpaceDE w:val="0"/>
        <w:autoSpaceDN w:val="0"/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освітньому процесі заклади загальної середньої освіти можуть використовувати лише навчальну літературу, що має гриф МОН України або схвалена відповідною комісією Науково-методичної ради з питань освіти Міністерства освіти і науки України. Перелік цієї навчальної літератури постійно оновлюється, його розміщено за посиланням </w:t>
      </w:r>
      <w:hyperlink r:id="rId9" w:history="1">
        <w:r w:rsidRPr="00234228">
          <w:rPr>
            <w:rStyle w:val="a3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https://goo.gl/TnGiJX</w:t>
        </w:r>
      </w:hyperlink>
      <w:r w:rsidRPr="002342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590D2B" w:rsidRDefault="00590D2B" w:rsidP="00864416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Отже, основним завданням кожного уроку має стати досягнення певного результату навчання, тобто набуття, формування чи розвиток учнем визначених навчальною програмою умінь, навичок, ставлень, цінностей, зазначених у відповідному структурному складнику програми. А відтак мають змінитися підходи до конструювання і проведення навчальних занять. 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Від трансляції готових знань учитель має перейти до методик, які дозволять учням 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самостійно </w:t>
      </w:r>
      <w:r w:rsidR="00A64D1D"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добувати знання</w:t>
      </w:r>
      <w:r w:rsidRPr="00234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ході навчальної діяльності; формувати уміння їх застосовувати у різних ситуаціях, генерувати і продукувати ідеї або нові знання; висловлювати власну точку зору щодо певних процесів чи явищ тощо.</w:t>
      </w:r>
    </w:p>
    <w:p w:rsidR="00A64D1D" w:rsidRPr="00A64D1D" w:rsidRDefault="00A64D1D" w:rsidP="002342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Зауважимо, що у 2018 році Україна брала участь у міжнародному моніторинговому дослідженні </w:t>
      </w:r>
      <w:r w:rsidRPr="00A367A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PISA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із результатами </w:t>
      </w:r>
      <w:r w:rsidR="00864416"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якого </w:t>
      </w:r>
      <w:r w:rsidRPr="00A36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можна ознайомитися за посиланням: </w:t>
      </w:r>
      <w:hyperlink r:id="rId10" w:history="1">
        <w:r w:rsidRPr="00A367AC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https://testportal.gov.ua/wp-content/uploads/2019/12/PISA_2018_Report_UKR.pdf</w:t>
        </w:r>
      </w:hyperlink>
      <w:r w:rsidRPr="00A367AC">
        <w:rPr>
          <w:rFonts w:ascii="Times New Roman" w:hAnsi="Times New Roman" w:cs="Times New Roman"/>
          <w:sz w:val="28"/>
          <w:szCs w:val="28"/>
        </w:rPr>
        <w:t xml:space="preserve">. Учителям природничих предметів рекомендуємо створювати базу диференційованих завдань </w:t>
      </w:r>
      <w:r w:rsidR="00864416" w:rsidRPr="00A367AC">
        <w:rPr>
          <w:rFonts w:ascii="Times New Roman" w:hAnsi="Times New Roman" w:cs="Times New Roman"/>
          <w:sz w:val="28"/>
          <w:szCs w:val="28"/>
        </w:rPr>
        <w:t xml:space="preserve">для перевірки сформованості предметних </w:t>
      </w:r>
      <w:proofErr w:type="spellStart"/>
      <w:r w:rsidR="00864416" w:rsidRPr="00A367A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864416" w:rsidRPr="00A367AC">
        <w:rPr>
          <w:rFonts w:ascii="Times New Roman" w:hAnsi="Times New Roman" w:cs="Times New Roman"/>
          <w:sz w:val="28"/>
          <w:szCs w:val="28"/>
        </w:rPr>
        <w:t xml:space="preserve"> здобувачів освіти, подібних до завдань міжнародних досліджень. Повідомляємо, що згідно постанови Кабінету Міністрів України № 584-р від 22.08.2018 «Деякі питання участі України у міжнародному дослідженні якості освіти PISA-2021» та наказу Міністерства освіти і науки України №400 від 13.03.2020 «Про забезпечення проведення пілотного етапу міжнародного дослідження якості освіти PISA-2021 в ЗЗСО, ПТО, ЗВО», у 2021 </w:t>
      </w:r>
      <w:bookmarkStart w:id="0" w:name="_GoBack"/>
      <w:bookmarkEnd w:id="0"/>
      <w:r w:rsidR="00864416" w:rsidRPr="00A367AC">
        <w:rPr>
          <w:rFonts w:ascii="Times New Roman" w:hAnsi="Times New Roman" w:cs="Times New Roman"/>
          <w:sz w:val="28"/>
          <w:szCs w:val="28"/>
        </w:rPr>
        <w:t xml:space="preserve">році в Україні пройде </w:t>
      </w:r>
      <w:r w:rsidR="00864416" w:rsidRPr="00A367AC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864416" w:rsidRPr="00A367AC">
        <w:rPr>
          <w:rFonts w:ascii="Times New Roman" w:hAnsi="Times New Roman" w:cs="Times New Roman"/>
          <w:sz w:val="28"/>
          <w:szCs w:val="28"/>
        </w:rPr>
        <w:t>-2021 у комп’ютерному форматі.</w:t>
      </w:r>
    </w:p>
    <w:p w:rsidR="008C77C2" w:rsidRPr="008C77C2" w:rsidRDefault="008C77C2" w:rsidP="008C77C2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Враховуючи вище викладене, пропонуємо розглянути подані матеріали на засіданнях районних/міських методичних об’єднань учителів </w:t>
      </w:r>
      <w:r w:rsidR="00627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хімії </w:t>
      </w:r>
      <w:r w:rsidRPr="008C7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прийняти відповідні рекомендації стосовно підвищення ефектив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ності викладання хімії</w:t>
      </w:r>
      <w:r w:rsidRPr="008C77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2020/2021 навчальному році, стежити за інформацією на сайтах МОН, ІМЗО, ДОН, ІППОЧО, яка може бути оновлена.</w:t>
      </w:r>
    </w:p>
    <w:p w:rsidR="008C77C2" w:rsidRPr="00234228" w:rsidRDefault="008C77C2" w:rsidP="00234228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7C2" w:rsidRPr="00234228" w:rsidSect="002342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45B59"/>
    <w:multiLevelType w:val="hybridMultilevel"/>
    <w:tmpl w:val="6A1A0912"/>
    <w:lvl w:ilvl="0" w:tplc="0422000F">
      <w:start w:val="1"/>
      <w:numFmt w:val="decimal"/>
      <w:lvlText w:val="%1."/>
      <w:lvlJc w:val="left"/>
      <w:pPr>
        <w:ind w:left="868" w:hanging="360"/>
      </w:pPr>
    </w:lvl>
    <w:lvl w:ilvl="1" w:tplc="04220019" w:tentative="1">
      <w:start w:val="1"/>
      <w:numFmt w:val="lowerLetter"/>
      <w:lvlText w:val="%2."/>
      <w:lvlJc w:val="left"/>
      <w:pPr>
        <w:ind w:left="1588" w:hanging="360"/>
      </w:pPr>
    </w:lvl>
    <w:lvl w:ilvl="2" w:tplc="0422001B" w:tentative="1">
      <w:start w:val="1"/>
      <w:numFmt w:val="lowerRoman"/>
      <w:lvlText w:val="%3."/>
      <w:lvlJc w:val="right"/>
      <w:pPr>
        <w:ind w:left="2308" w:hanging="180"/>
      </w:pPr>
    </w:lvl>
    <w:lvl w:ilvl="3" w:tplc="0422000F" w:tentative="1">
      <w:start w:val="1"/>
      <w:numFmt w:val="decimal"/>
      <w:lvlText w:val="%4."/>
      <w:lvlJc w:val="left"/>
      <w:pPr>
        <w:ind w:left="3028" w:hanging="360"/>
      </w:pPr>
    </w:lvl>
    <w:lvl w:ilvl="4" w:tplc="04220019" w:tentative="1">
      <w:start w:val="1"/>
      <w:numFmt w:val="lowerLetter"/>
      <w:lvlText w:val="%5."/>
      <w:lvlJc w:val="left"/>
      <w:pPr>
        <w:ind w:left="3748" w:hanging="360"/>
      </w:pPr>
    </w:lvl>
    <w:lvl w:ilvl="5" w:tplc="0422001B" w:tentative="1">
      <w:start w:val="1"/>
      <w:numFmt w:val="lowerRoman"/>
      <w:lvlText w:val="%6."/>
      <w:lvlJc w:val="right"/>
      <w:pPr>
        <w:ind w:left="4468" w:hanging="180"/>
      </w:pPr>
    </w:lvl>
    <w:lvl w:ilvl="6" w:tplc="0422000F" w:tentative="1">
      <w:start w:val="1"/>
      <w:numFmt w:val="decimal"/>
      <w:lvlText w:val="%7."/>
      <w:lvlJc w:val="left"/>
      <w:pPr>
        <w:ind w:left="5188" w:hanging="360"/>
      </w:pPr>
    </w:lvl>
    <w:lvl w:ilvl="7" w:tplc="04220019" w:tentative="1">
      <w:start w:val="1"/>
      <w:numFmt w:val="lowerLetter"/>
      <w:lvlText w:val="%8."/>
      <w:lvlJc w:val="left"/>
      <w:pPr>
        <w:ind w:left="5908" w:hanging="360"/>
      </w:pPr>
    </w:lvl>
    <w:lvl w:ilvl="8" w:tplc="0422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1">
    <w:nsid w:val="52D45B85"/>
    <w:multiLevelType w:val="hybridMultilevel"/>
    <w:tmpl w:val="A052F656"/>
    <w:lvl w:ilvl="0" w:tplc="EC7C0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7CA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B2B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64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A9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C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22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6CD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6A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C920AE0"/>
    <w:multiLevelType w:val="hybridMultilevel"/>
    <w:tmpl w:val="B608CE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03F"/>
    <w:rsid w:val="00055353"/>
    <w:rsid w:val="001443EA"/>
    <w:rsid w:val="00234228"/>
    <w:rsid w:val="002A67A5"/>
    <w:rsid w:val="00590D2B"/>
    <w:rsid w:val="0062720F"/>
    <w:rsid w:val="00780C91"/>
    <w:rsid w:val="00793356"/>
    <w:rsid w:val="0085306B"/>
    <w:rsid w:val="00864416"/>
    <w:rsid w:val="008C77C2"/>
    <w:rsid w:val="009B003F"/>
    <w:rsid w:val="00A367AC"/>
    <w:rsid w:val="00A64D1D"/>
    <w:rsid w:val="00C82D5F"/>
    <w:rsid w:val="00C86E99"/>
    <w:rsid w:val="00CF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0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4228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A64D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D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306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34228"/>
    <w:pPr>
      <w:widowControl w:val="0"/>
      <w:autoSpaceDE w:val="0"/>
      <w:autoSpaceDN w:val="0"/>
      <w:spacing w:after="0" w:line="240" w:lineRule="auto"/>
    </w:pPr>
    <w:rPr>
      <w:rFonts w:ascii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FollowedHyperlink"/>
    <w:basedOn w:val="a0"/>
    <w:uiPriority w:val="99"/>
    <w:semiHidden/>
    <w:unhideWhenUsed/>
    <w:rsid w:val="00A64D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0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4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wh2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wh2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GDh9g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stportal.gov.ua/wp-content/uploads/2019/12/PISA_2018_Report_UK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TnGiJ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2020-06-16T15:37:00Z</dcterms:created>
  <dcterms:modified xsi:type="dcterms:W3CDTF">2020-06-16T15:38:00Z</dcterms:modified>
</cp:coreProperties>
</file>