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7" w:rsidRDefault="008F7F17"/>
    <w:p w:rsidR="00151229" w:rsidRPr="00C33395" w:rsidRDefault="00151229" w:rsidP="0015122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proofErr w:type="spellStart"/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Методичні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рекомендації</w:t>
      </w:r>
      <w:proofErr w:type="spellEnd"/>
    </w:p>
    <w:p w:rsidR="00151229" w:rsidRPr="00703F30" w:rsidRDefault="00151229" w:rsidP="0015122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щ</w:t>
      </w:r>
      <w:proofErr w:type="spellStart"/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одо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</w:t>
      </w:r>
      <w:proofErr w:type="spell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ивче</w:t>
      </w:r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C33395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зарубіжн</w:t>
      </w:r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ої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</w:p>
    <w:p w:rsidR="00151229" w:rsidRPr="00C33395" w:rsidRDefault="00151229" w:rsidP="0015122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в </w:t>
      </w:r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>закладах</w:t>
      </w:r>
      <w:r w:rsidRPr="00796511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загальної середньої освіти області</w:t>
      </w:r>
      <w:r w:rsidRPr="00C3339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151229" w:rsidRDefault="00151229" w:rsidP="0015122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 w:rsidRPr="005D1588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у 2020/20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21</w:t>
      </w:r>
      <w:r w:rsidRPr="005D1588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навчальному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r w:rsidRPr="005D1588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році</w:t>
      </w:r>
    </w:p>
    <w:p w:rsidR="009C41E9" w:rsidRPr="005D1588" w:rsidRDefault="009C41E9" w:rsidP="0015122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</w:p>
    <w:p w:rsidR="00811902" w:rsidRPr="00811902" w:rsidRDefault="00811902" w:rsidP="0060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hAnsi="Times New Roman" w:cs="Times New Roman"/>
          <w:sz w:val="28"/>
          <w:szCs w:val="28"/>
        </w:rPr>
        <w:t xml:space="preserve"> </w:t>
      </w:r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C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онцепції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названо 10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–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списку, як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виокремлюється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мовленнєвого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(і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конкретизується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чином: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тлумачити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погляди (через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говоріння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</w:p>
    <w:p w:rsidR="00811902" w:rsidRPr="00811902" w:rsidRDefault="00811902" w:rsidP="0060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порядком,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іменована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</w:t>
      </w:r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льтурна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грамотність</w:t>
      </w:r>
      <w:proofErr w:type="spellEnd"/>
      <w:r w:rsidR="009C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ідентичності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підгрунття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розмаїття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1902" w:rsidRPr="00811902" w:rsidRDefault="00811902" w:rsidP="0060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домогтися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озброювала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 у ХХІ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902" w:rsidRPr="00811902" w:rsidRDefault="00142D5A" w:rsidP="0060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спільними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є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902" w:rsidRPr="00811902" w:rsidRDefault="00811902" w:rsidP="006014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прочитане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6014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6014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</w:t>
      </w:r>
      <w:proofErr w:type="spellEnd"/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</w:t>
      </w:r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6014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обгрунтовувати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811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F368A8" w:rsidRP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</w:t>
      </w:r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</w:t>
      </w:r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368A8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11902" w:rsidRPr="00811902" w:rsidRDefault="00811902" w:rsidP="00811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811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902" w:rsidRPr="00811902" w:rsidRDefault="00811902" w:rsidP="00811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</w:t>
      </w:r>
      <w:r w:rsidR="00F3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902" w:rsidRPr="00811902" w:rsidRDefault="00142D5A" w:rsidP="00142D5A">
      <w:pPr>
        <w:spacing w:after="0" w:line="240" w:lineRule="auto"/>
        <w:ind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складників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</w:t>
      </w:r>
      <w:r w:rsidR="00720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proofErr w:type="spellEnd"/>
      <w:r w:rsidR="0072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20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формуванням</w:t>
      </w:r>
      <w:proofErr w:type="spellEnd"/>
      <w:r w:rsidR="0072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</w:t>
      </w:r>
      <w:r w:rsidR="0072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="0072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 –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діалогічне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902" w:rsidRPr="00811902" w:rsidRDefault="00811902" w:rsidP="00811902">
      <w:pPr>
        <w:spacing w:after="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 мета літературної освіти в школі – підготувати учнів до входження в сучасний світ, допомогти інтегруватися в соціокультурне середовище, знаходити спільну мову з однолітками різних країн і народів, це виховання поціновувачів Книги, творчих читачів із с</w:t>
      </w:r>
      <w:r w:rsidR="0072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амостійним критичним мисленням і</w:t>
      </w:r>
      <w:r w:rsidRPr="00811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розрахована на живий діалог учителя й учнів.</w:t>
      </w:r>
    </w:p>
    <w:p w:rsidR="00601464" w:rsidRDefault="00811902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1464" w:rsidRDefault="00601464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464" w:rsidRDefault="00601464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464" w:rsidRDefault="00601464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902" w:rsidRPr="00811902" w:rsidRDefault="00811902" w:rsidP="00601464">
      <w:pPr>
        <w:spacing w:after="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Активізувати пізнавальну діяльність учнів, уникнути авторитарного впливу на них і формалізму засвоєння змісту художнього твору забезпечує проблемно – діалогічне навчання.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</w:t>
      </w:r>
      <w:r w:rsidR="001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4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</w:t>
      </w:r>
      <w:proofErr w:type="spellStart"/>
      <w:r w:rsidR="00140BBA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="00140BBA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учителеві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14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Ліпман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Суть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(методики)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інтегральна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сократівському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діалозі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винайден</w:t>
      </w:r>
      <w:proofErr w:type="spellEnd"/>
      <w:r w:rsidR="00D07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неочікуваних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парадоксальних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осягненні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Ганаба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епістемологічний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Метью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Ліпмана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Смотрицький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Є.Л.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«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1902" w:rsidRPr="00811902" w:rsidRDefault="009C41E9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gram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специфічний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здобутих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людством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="00811902"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902" w:rsidRPr="00811902" w:rsidRDefault="00811902" w:rsidP="00811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діалогічного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54A" w:rsidRDefault="00811902" w:rsidP="00D0754A">
      <w:pPr>
        <w:spacing w:after="0"/>
        <w:ind w:hanging="360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здатного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культурного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81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C38B5" w:rsidRPr="006C38B5">
        <w:rPr>
          <w:sz w:val="14"/>
          <w:szCs w:val="14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</w:p>
    <w:p w:rsidR="006C38B5" w:rsidRPr="00D0754A" w:rsidRDefault="00D0754A" w:rsidP="00D0754A">
      <w:pPr>
        <w:spacing w:after="0"/>
        <w:ind w:hanging="360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  <w:r w:rsidRPr="00811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1902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 </w:t>
      </w:r>
      <w:r w:rsidR="006C38B5" w:rsidRPr="00D07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сприймання освіти як культурного процесу, рушійними с</w:t>
      </w:r>
      <w:r w:rsidRPr="00D07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илами якого є особистісні думки</w:t>
      </w:r>
      <w:r w:rsidR="006C38B5" w:rsidRPr="00D07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діалог і співпраця його учасників;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38B5" w:rsidRPr="006C38B5" w:rsidRDefault="006C38B5" w:rsidP="00D075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38B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посередник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книжкою,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індивідуальному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самовизначенні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8B5" w:rsidRPr="006C38B5" w:rsidRDefault="006C38B5" w:rsidP="006C38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38B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критичних</w:t>
      </w:r>
      <w:proofErr w:type="spellEnd"/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точках </w:t>
      </w:r>
      <w:proofErr w:type="spellStart"/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точках</w:t>
      </w:r>
      <w:proofErr w:type="gram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разом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розв’язують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і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8B5" w:rsidRPr="006C38B5" w:rsidRDefault="006C38B5" w:rsidP="006C38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38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повторює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8B5" w:rsidRDefault="00D32615" w:rsidP="00D3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діалог та медіа −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технології на уроках зарубіжної літератури забезпечують позитивні впливи: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мотивацію до навчання;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керування процесом осмисленого сприйняття літературного твору;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аналізувати та інтерпретувати текст;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самостійності та </w:t>
      </w:r>
      <w:proofErr w:type="spellStart"/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обгрунтованості</w:t>
      </w:r>
      <w:proofErr w:type="spellEnd"/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суджень;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комунікатив</w:t>
      </w:r>
      <w:r w:rsidR="00DE05D6" w:rsidRPr="00D32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мінь та навичок;</w:t>
      </w:r>
    </w:p>
    <w:p w:rsidR="006C38B5" w:rsidRPr="006C38B5" w:rsidRDefault="006C38B5" w:rsidP="00DE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пізнавальних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0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міння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8B5" w:rsidRPr="006C38B5" w:rsidRDefault="004927AC" w:rsidP="004927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8B5"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інтеграції створює сприятливі умови для формування в учнів цілісної картини світу, вироблення здатності сприймати предмети і явища всебічно, системно, емоційно, критично. </w:t>
      </w:r>
    </w:p>
    <w:p w:rsidR="00CB4E3C" w:rsidRDefault="00CB4E3C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E3C" w:rsidRDefault="00CB4E3C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E3C" w:rsidRDefault="00CB4E3C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E3C" w:rsidRDefault="00CB4E3C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E3C" w:rsidRDefault="00CB4E3C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8B5" w:rsidRPr="006C38B5" w:rsidRDefault="006C38B5" w:rsidP="006C38B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вивчення зарубіжної літератури через синтез інших видів мистецтва допомагає учням продуктивніше засвоїти матеріал, розвиває їх всебічно, навчає їх головному – жити на землі.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351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 </w:t>
      </w:r>
      <w:proofErr w:type="spellStart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 Бертольд Брехт: «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Усі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види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мистецтва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служать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найвеличнішому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мистецтв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мистецтву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жити</w:t>
      </w:r>
      <w:proofErr w:type="spellEnd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6C3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Землі</w:t>
      </w:r>
      <w:proofErr w:type="spellEnd"/>
      <w:r w:rsidRPr="006C38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314" w:rsidRPr="00D50314" w:rsidRDefault="00D50314" w:rsidP="00D5031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міжособистісне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контакт,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думку,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вести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дискусію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</w:t>
      </w:r>
    </w:p>
    <w:p w:rsidR="00D50314" w:rsidRPr="00D50314" w:rsidRDefault="004927AC" w:rsidP="004927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Методи, орієнтовані на формуванні усної комунікації</w:t>
      </w:r>
      <w:r w:rsidR="00351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 форми навчального діалогу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 види переказу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оповіді і повідомлення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</w:t>
      </w:r>
      <w:r w:rsidRPr="0049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ділові ігри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0314" w:rsidRPr="00D503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авчальні дослідження і навчальні </w:t>
      </w:r>
      <w:proofErr w:type="spellStart"/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</w:t>
      </w:r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бговорення, дискусії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диспут</w:t>
      </w:r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0314" w:rsidRPr="00D503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иступи 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заходах.</w:t>
      </w:r>
    </w:p>
    <w:p w:rsidR="00D50314" w:rsidRPr="00D50314" w:rsidRDefault="004927AC" w:rsidP="004927A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A7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етоди, орієнтовані на формування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письмової комунікації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вори і перекази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ідготовка заміток і статей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елекомунікаційні тексти, повідомлення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</w:p>
    <w:p w:rsidR="000D0994" w:rsidRPr="000D0994" w:rsidRDefault="00BF7455" w:rsidP="00BF7455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ІКТ –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з </w:t>
      </w:r>
      <w:proofErr w:type="spellStart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D50314" w:rsidRPr="00D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зацікавленість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олегшують</w:t>
      </w:r>
      <w:proofErr w:type="spellEnd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наочність</w:t>
      </w:r>
      <w:proofErr w:type="spellEnd"/>
      <w:r w:rsidR="000D0994" w:rsidRPr="000D09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також </w:t>
      </w:r>
    </w:p>
    <w:p w:rsidR="000D0994" w:rsidRDefault="00BF7455" w:rsidP="00BF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0994" w:rsidRPr="00B77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одаткове джерело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455" w:rsidRPr="0033696F" w:rsidRDefault="00BF7455" w:rsidP="003453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28A">
        <w:rPr>
          <w:rFonts w:ascii="Times New Roman" w:hAnsi="Times New Roman" w:cs="Times New Roman"/>
          <w:sz w:val="28"/>
          <w:szCs w:val="28"/>
          <w:lang w:val="uk-UA"/>
        </w:rPr>
        <w:t xml:space="preserve">Однією із суттєвих ознак модернізації сучасної школи є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428A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696F">
        <w:rPr>
          <w:rFonts w:ascii="Times New Roman" w:hAnsi="Times New Roman" w:cs="Times New Roman"/>
          <w:sz w:val="28"/>
          <w:szCs w:val="28"/>
          <w:lang w:val="uk-UA"/>
        </w:rPr>
        <w:t xml:space="preserve">Мета такого навчання </w:t>
      </w:r>
      <w:r w:rsidRPr="0033696F">
        <w:rPr>
          <w:rFonts w:ascii="Times New Roman" w:hAnsi="Cambria Math" w:cs="Times New Roman"/>
          <w:sz w:val="28"/>
          <w:szCs w:val="28"/>
          <w:lang w:val="uk-UA"/>
        </w:rPr>
        <w:t>‒</w:t>
      </w:r>
      <w:r w:rsidRPr="0033696F">
        <w:rPr>
          <w:rFonts w:ascii="Times New Roman" w:hAnsi="Times New Roman" w:cs="Times New Roman"/>
          <w:sz w:val="28"/>
          <w:szCs w:val="28"/>
          <w:lang w:val="uk-UA"/>
        </w:rPr>
        <w:t xml:space="preserve"> надання освітніх послуг шляхом застосування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96F">
        <w:rPr>
          <w:rFonts w:ascii="Times New Roman" w:hAnsi="Times New Roman" w:cs="Times New Roman"/>
          <w:sz w:val="28"/>
          <w:szCs w:val="28"/>
          <w:lang w:val="uk-UA"/>
        </w:rPr>
        <w:t>інформацій</w:t>
      </w:r>
      <w:r w:rsidR="007F1E69">
        <w:rPr>
          <w:rFonts w:ascii="Times New Roman" w:hAnsi="Times New Roman" w:cs="Times New Roman"/>
          <w:sz w:val="28"/>
          <w:szCs w:val="28"/>
          <w:lang w:val="uk-UA"/>
        </w:rPr>
        <w:t>но-комунікаційних технологій</w:t>
      </w:r>
      <w:r w:rsidRPr="00336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55" w:rsidRPr="00FB158B" w:rsidRDefault="00BF745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r w:rsidRPr="0044428A">
        <w:rPr>
          <w:rFonts w:ascii="Times New Roman" w:hAnsi="Cambria Math" w:cs="Times New Roman"/>
          <w:sz w:val="28"/>
          <w:szCs w:val="28"/>
        </w:rPr>
        <w:t>‒</w:t>
      </w:r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нова форма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8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444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</w:t>
      </w:r>
      <w:r w:rsidRPr="0050321F">
        <w:rPr>
          <w:rFonts w:ascii="Times New Roman" w:hAnsi="Times New Roman" w:cs="Times New Roman"/>
          <w:sz w:val="28"/>
          <w:szCs w:val="28"/>
          <w:lang w:val="uk-UA"/>
        </w:rPr>
        <w:t>надає доступ до освітніх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 головні </w:t>
      </w:r>
      <w:r w:rsidRPr="001B68BE">
        <w:rPr>
          <w:rFonts w:ascii="Times New Roman" w:hAnsi="Times New Roman" w:cs="Times New Roman"/>
          <w:b/>
          <w:sz w:val="28"/>
          <w:szCs w:val="28"/>
          <w:lang w:val="uk-UA"/>
        </w:rPr>
        <w:t>переваги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 xml:space="preserve"> дистанці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йної форми навчання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доступність;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індивідуальний процес навчання; розширення і багаторівневість знань з урахуванням можливостей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сучасних Інтернет-технологій;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удоск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оналення професійного рівня вчителів, які впроваджують інформаційні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технології в навчальний процес; демократизація й універсалізація начального діалогу на основі взаємодії 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учасників осві</w:t>
      </w:r>
      <w:r w:rsidR="00D20367">
        <w:rPr>
          <w:rFonts w:ascii="Times New Roman" w:hAnsi="Times New Roman" w:cs="Times New Roman"/>
          <w:sz w:val="28"/>
          <w:szCs w:val="28"/>
          <w:lang w:val="uk-UA"/>
        </w:rPr>
        <w:t>тнього простору «педагог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 xml:space="preserve"> ↔ учень ↔ батьки»;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упро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>вадження провідних освітніх технологій.</w:t>
      </w:r>
    </w:p>
    <w:p w:rsidR="00D32615" w:rsidRDefault="00BF745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58B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1B68BE">
        <w:rPr>
          <w:rFonts w:ascii="Times New Roman" w:hAnsi="Times New Roman" w:cs="Times New Roman"/>
          <w:b/>
          <w:sz w:val="28"/>
          <w:szCs w:val="28"/>
          <w:lang w:val="uk-UA"/>
        </w:rPr>
        <w:t>недоліків</w:t>
      </w:r>
      <w:r w:rsidRPr="00FB158B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 форми навчання, за умов, що склалися, 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виділити такі: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ускл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аднена ідентифікація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учнів, так як така модель дистанційного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в’язку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обмежує вчителя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 xml:space="preserve"> у відслідковуванні процесу 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діяльності та її результативності;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недостатній рівень безпосереднього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нтакту між учнем і педагогом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через професійну завантаженість останнього;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потреба в стандартизації й уніфікації вимог до навчальних матеріалів,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для реалізації на високому рівні мети й </w:t>
      </w:r>
    </w:p>
    <w:p w:rsidR="00D32615" w:rsidRDefault="00D3261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15" w:rsidRDefault="00D3261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15" w:rsidRDefault="00D3261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15" w:rsidRDefault="00D32615" w:rsidP="00D3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455" w:rsidRPr="008F576F" w:rsidRDefault="00BF7455" w:rsidP="00D3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6F">
        <w:rPr>
          <w:rFonts w:ascii="Times New Roman" w:hAnsi="Times New Roman" w:cs="Times New Roman"/>
          <w:sz w:val="28"/>
          <w:szCs w:val="28"/>
          <w:lang w:val="uk-UA"/>
        </w:rPr>
        <w:t>завдань дистанційного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навчання;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невисока якість навчально-методичних матеріалів і їх дидактичного</w:t>
      </w:r>
      <w:r w:rsidR="00D3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6F">
        <w:rPr>
          <w:rFonts w:ascii="Times New Roman" w:hAnsi="Times New Roman" w:cs="Times New Roman"/>
          <w:sz w:val="28"/>
          <w:szCs w:val="28"/>
          <w:lang w:val="uk-UA"/>
        </w:rPr>
        <w:t>потенціалу.</w:t>
      </w:r>
    </w:p>
    <w:p w:rsidR="00632B56" w:rsidRPr="00206790" w:rsidRDefault="00632B56" w:rsidP="003453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90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використовують такі інструменти спілкування: </w:t>
      </w:r>
      <w:r w:rsidRPr="00206790">
        <w:rPr>
          <w:rFonts w:ascii="Times New Roman" w:hAnsi="Times New Roman" w:cs="Times New Roman"/>
          <w:i/>
          <w:sz w:val="28"/>
          <w:szCs w:val="28"/>
          <w:lang w:val="uk-UA"/>
        </w:rPr>
        <w:t>електронна пошта, форум, чат, відео конференція, блог,</w:t>
      </w:r>
      <w:r w:rsidRPr="00206790">
        <w:rPr>
          <w:b/>
          <w:i/>
        </w:rPr>
        <w:t xml:space="preserve"> </w:t>
      </w:r>
      <w:r w:rsidRPr="002067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технологію </w:t>
      </w:r>
      <w:proofErr w:type="spellStart"/>
      <w:r w:rsidRPr="00206790">
        <w:rPr>
          <w:rFonts w:ascii="Times New Roman" w:hAnsi="Times New Roman" w:cs="Times New Roman"/>
          <w:i/>
          <w:sz w:val="28"/>
          <w:szCs w:val="28"/>
        </w:rPr>
        <w:t>Wi-Fi</w:t>
      </w:r>
      <w:proofErr w:type="spellEnd"/>
      <w:r w:rsidRPr="002067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632B56" w:rsidRPr="00206790" w:rsidRDefault="00632B56" w:rsidP="0034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9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r w:rsidRPr="00206790">
        <w:rPr>
          <w:rFonts w:ascii="Times New Roman" w:hAnsi="Times New Roman" w:cs="Times New Roman"/>
          <w:i/>
          <w:sz w:val="28"/>
          <w:szCs w:val="28"/>
        </w:rPr>
        <w:t>веб-</w:t>
      </w:r>
      <w:proofErr w:type="spellStart"/>
      <w:r w:rsidRPr="00206790">
        <w:rPr>
          <w:rFonts w:ascii="Times New Roman" w:hAnsi="Times New Roman" w:cs="Times New Roman"/>
          <w:i/>
          <w:sz w:val="28"/>
          <w:szCs w:val="28"/>
        </w:rPr>
        <w:t>квести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з практичною метою. Дана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, синтезу і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>. Робота з веб-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предметом,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провести в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здвоєних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самими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9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06790">
        <w:rPr>
          <w:rFonts w:ascii="Times New Roman" w:hAnsi="Times New Roman" w:cs="Times New Roman"/>
          <w:sz w:val="28"/>
          <w:szCs w:val="28"/>
        </w:rPr>
        <w:t>.</w:t>
      </w:r>
    </w:p>
    <w:p w:rsidR="00D96E9C" w:rsidRPr="00D96E9C" w:rsidRDefault="00FF48CF" w:rsidP="004F25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4F2515" w:rsidRPr="00F02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61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1454" w:rsidRPr="007D58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основнй</w:t>
      </w:r>
      <w:proofErr w:type="spellEnd"/>
      <w:r w:rsidR="00D61454" w:rsidRPr="007D58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школі</w:t>
      </w:r>
      <w:r w:rsidR="00D61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96E9C" w:rsidRPr="00D96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D61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мають бути сформовані </w:t>
      </w:r>
      <w:r w:rsidR="00D96E9C" w:rsidRPr="00D96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та навички роботи з книжкою, з книжковими ресурсами бібліотек та Інтернету, які варто застосовувати для розширення кола читання діте</w:t>
      </w:r>
      <w:r w:rsidR="00632B56" w:rsidRPr="00F02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і підлітків. </w:t>
      </w:r>
      <w:r w:rsidR="0063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заохотити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6E9C" w:rsidRDefault="00F024BF" w:rsidP="00F024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спрямоване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траєкторію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вірними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супутниками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порадниками</w:t>
      </w:r>
      <w:proofErr w:type="spellEnd"/>
      <w:r w:rsidR="00D96E9C"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890" w:rsidRDefault="007D5890" w:rsidP="007D5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3447">
        <w:rPr>
          <w:rFonts w:ascii="Times New Roman" w:hAnsi="Times New Roman"/>
          <w:b/>
          <w:sz w:val="28"/>
          <w:szCs w:val="28"/>
          <w:lang w:eastAsia="ru-RU"/>
        </w:rPr>
        <w:t>У 20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Pr="002D7B73">
        <w:rPr>
          <w:rFonts w:ascii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21</w:t>
      </w:r>
      <w:r w:rsidRPr="005B34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B3447">
        <w:rPr>
          <w:rFonts w:ascii="Times New Roman" w:hAnsi="Times New Roman"/>
          <w:b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B3447">
        <w:rPr>
          <w:rFonts w:ascii="Times New Roman" w:hAnsi="Times New Roman"/>
          <w:b/>
          <w:sz w:val="28"/>
          <w:szCs w:val="28"/>
          <w:lang w:eastAsia="ru-RU"/>
        </w:rPr>
        <w:t>році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E1718A">
        <w:rPr>
          <w:rFonts w:ascii="Times New Roman" w:hAnsi="Times New Roman"/>
          <w:sz w:val="28"/>
          <w:szCs w:val="28"/>
          <w:lang w:eastAsia="ru-RU"/>
        </w:rPr>
        <w:t>зарубіжної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1718A">
        <w:rPr>
          <w:rFonts w:ascii="Times New Roman" w:hAnsi="Times New Roman"/>
          <w:sz w:val="28"/>
          <w:szCs w:val="28"/>
          <w:lang w:eastAsia="ru-RU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B3447">
        <w:rPr>
          <w:rFonts w:ascii="Times New Roman" w:hAnsi="Times New Roman"/>
          <w:b/>
          <w:sz w:val="28"/>
          <w:szCs w:val="28"/>
          <w:lang w:eastAsia="ru-RU"/>
        </w:rPr>
        <w:t xml:space="preserve">в 5-9 </w:t>
      </w:r>
      <w:proofErr w:type="spellStart"/>
      <w:r w:rsidRPr="005B3447">
        <w:rPr>
          <w:rFonts w:ascii="Times New Roman" w:hAnsi="Times New Roman"/>
          <w:b/>
          <w:sz w:val="28"/>
          <w:szCs w:val="28"/>
          <w:lang w:eastAsia="ru-RU"/>
        </w:rPr>
        <w:t>класах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1718A">
        <w:rPr>
          <w:rFonts w:ascii="Times New Roman" w:hAnsi="Times New Roman"/>
          <w:sz w:val="28"/>
          <w:szCs w:val="28"/>
          <w:lang w:eastAsia="ru-RU"/>
        </w:rPr>
        <w:t>здійснюватиметься</w:t>
      </w:r>
      <w:proofErr w:type="spellEnd"/>
      <w:r w:rsidRPr="00E1718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минулорічною </w:t>
      </w:r>
      <w:proofErr w:type="spellStart"/>
      <w:r w:rsidRPr="00E1718A">
        <w:rPr>
          <w:rFonts w:ascii="Times New Roman" w:hAnsi="Times New Roman"/>
          <w:sz w:val="28"/>
          <w:szCs w:val="28"/>
          <w:lang w:eastAsia="ru-RU"/>
        </w:rPr>
        <w:t>програмою</w:t>
      </w:r>
      <w:proofErr w:type="spellEnd"/>
      <w:r w:rsidRPr="00E1718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D5890" w:rsidRPr="009F0DCA" w:rsidRDefault="007D5890" w:rsidP="007D5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1A59">
        <w:rPr>
          <w:rFonts w:ascii="Times New Roman" w:hAnsi="Times New Roman"/>
          <w:sz w:val="28"/>
          <w:szCs w:val="28"/>
          <w:lang w:val="uk-UA" w:eastAsia="ru-RU"/>
        </w:rPr>
        <w:t>Світова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81A59">
        <w:rPr>
          <w:rFonts w:ascii="Times New Roman" w:hAnsi="Times New Roman"/>
          <w:sz w:val="28"/>
          <w:szCs w:val="28"/>
          <w:lang w:val="uk-UA" w:eastAsia="ru-RU"/>
        </w:rPr>
        <w:t>література. 5–9 класи. Програма для загальноосвітніх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81A59">
        <w:rPr>
          <w:rFonts w:ascii="Times New Roman" w:hAnsi="Times New Roman"/>
          <w:sz w:val="28"/>
          <w:szCs w:val="28"/>
          <w:lang w:val="uk-UA" w:eastAsia="ru-RU"/>
        </w:rPr>
        <w:t>навчальних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81A59">
        <w:rPr>
          <w:rFonts w:ascii="Times New Roman" w:hAnsi="Times New Roman"/>
          <w:sz w:val="28"/>
          <w:szCs w:val="28"/>
          <w:lang w:val="uk-UA" w:eastAsia="ru-RU"/>
        </w:rPr>
        <w:t xml:space="preserve">закладів. - </w:t>
      </w:r>
      <w:r w:rsidRPr="0012341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К.: Видавничий дім «Освіта», 2013 </w:t>
      </w:r>
      <w:r w:rsidRPr="0012341D">
        <w:rPr>
          <w:rFonts w:ascii="Times New Roman" w:hAnsi="Times New Roman"/>
          <w:sz w:val="28"/>
          <w:szCs w:val="28"/>
          <w:lang w:val="uk-UA" w:eastAsia="uk-UA"/>
        </w:rPr>
        <w:t>зі змінами, затвердженими наказом 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ОН України від 07.06.2017 № 804 </w:t>
      </w:r>
      <w:r w:rsidRPr="00A81A59">
        <w:rPr>
          <w:rFonts w:ascii="Times New Roman" w:hAnsi="Times New Roman"/>
          <w:sz w:val="28"/>
          <w:szCs w:val="28"/>
          <w:lang w:val="uk-UA" w:eastAsia="ru-RU"/>
        </w:rPr>
        <w:t>(електронний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81A59">
        <w:rPr>
          <w:rFonts w:ascii="Times New Roman" w:hAnsi="Times New Roman"/>
          <w:sz w:val="28"/>
          <w:szCs w:val="28"/>
          <w:lang w:val="uk-UA" w:eastAsia="ru-RU"/>
        </w:rPr>
        <w:t xml:space="preserve">ресурс: </w:t>
      </w:r>
      <w:hyperlink r:id="rId5" w:history="1">
        <w:r w:rsidRPr="0086313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www.mon.gov.ua</w:t>
        </w:r>
      </w:hyperlink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D5890" w:rsidRPr="00526D22" w:rsidRDefault="007D5890" w:rsidP="008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6D2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у 10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- 11 класах </w:t>
      </w:r>
      <w:r w:rsidRPr="00526D22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за навчальними програмами, що затверджені</w:t>
      </w:r>
      <w:r w:rsidRPr="00526D22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наказом МОН України від 23.10.2017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526D22">
        <w:rPr>
          <w:rFonts w:ascii="Times New Roman" w:hAnsi="Times New Roman"/>
          <w:bCs/>
          <w:sz w:val="28"/>
          <w:szCs w:val="28"/>
          <w:lang w:val="uk-UA" w:eastAsia="uk-UA"/>
        </w:rPr>
        <w:t>№ 1407</w:t>
      </w:r>
      <w:r w:rsidRPr="00E171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E171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електронний</w:t>
      </w:r>
      <w:proofErr w:type="spellEnd"/>
      <w:r w:rsidRPr="00E171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ресурс: </w:t>
      </w:r>
      <w:hyperlink r:id="rId6" w:history="1">
        <w:r w:rsidRPr="0086313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www.mon.gov.ua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).</w:t>
      </w:r>
    </w:p>
    <w:p w:rsidR="00DC4CB6" w:rsidRDefault="00DC4CB6" w:rsidP="00845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83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екомендован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 в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зарубіжної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183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51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8451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5-9 та 10 класах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незмінна. </w:t>
      </w:r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на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розсуд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збільшити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підготовленості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6043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451AF" w:rsidRDefault="00F024BF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6E9C" w:rsidRPr="00D96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Навчальна та методична література із зарубіжної літератури, рекомендована МОН, зазначена у Переліках навчальних програм, підручників та навчально-методичних посібників, рекомендованих Міністерством освіти і науки України, що розміщені на офіційному сайті МОН.</w:t>
      </w:r>
    </w:p>
    <w:p w:rsidR="008451AF" w:rsidRDefault="008451AF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1AF" w:rsidRDefault="008451AF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1AF" w:rsidRDefault="008451AF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E9C" w:rsidRPr="00D96E9C" w:rsidRDefault="00D96E9C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6E9C" w:rsidRPr="009C41E9" w:rsidRDefault="00D96E9C" w:rsidP="00845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радимо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фахові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</w:t>
      </w:r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proofErr w:type="spellStart"/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газету «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D96E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845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="00845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7788" w:rsidRPr="00B77788" w:rsidRDefault="00B77788" w:rsidP="00B777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Орієнтовний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перелік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питань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які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потрібно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опрацювати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методичних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об’єднаннях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вчителів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зарубіжної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літератури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77788" w:rsidRPr="00B77788" w:rsidRDefault="00B77788" w:rsidP="00B777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7788">
        <w:rPr>
          <w:rFonts w:ascii="Times New Roman" w:eastAsia="Calibri" w:hAnsi="Times New Roman" w:cs="Times New Roman"/>
          <w:bCs/>
          <w:sz w:val="28"/>
          <w:szCs w:val="28"/>
        </w:rPr>
        <w:t>Нормативно-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правове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забезпечення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виклада</w:t>
      </w:r>
      <w:r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20</w:t>
      </w:r>
      <w:r w:rsidRPr="00B7778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/2021</w:t>
      </w:r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навчальному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році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7788" w:rsidRPr="00B77788" w:rsidRDefault="0035106B" w:rsidP="00B777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Допрофільна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підготовка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B77788"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77788" w:rsidRPr="00B77788">
        <w:rPr>
          <w:rFonts w:ascii="Times New Roman" w:eastAsia="Calibri" w:hAnsi="Times New Roman" w:cs="Times New Roman"/>
          <w:bCs/>
          <w:sz w:val="28"/>
          <w:szCs w:val="28"/>
        </w:rPr>
        <w:t>основній</w:t>
      </w:r>
      <w:proofErr w:type="spellEnd"/>
      <w:r w:rsidR="00B77788"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77788" w:rsidRPr="00B77788">
        <w:rPr>
          <w:rFonts w:ascii="Times New Roman" w:eastAsia="Calibri" w:hAnsi="Times New Roman" w:cs="Times New Roman"/>
          <w:bCs/>
          <w:sz w:val="28"/>
          <w:szCs w:val="28"/>
        </w:rPr>
        <w:t>школі</w:t>
      </w:r>
      <w:proofErr w:type="spellEnd"/>
      <w:r w:rsidR="00B77788"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64AF9" w:rsidRPr="00B77788" w:rsidRDefault="00E64AF9" w:rsidP="00E64A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Нові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технології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викладанні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шкільного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курсу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літератури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64AF9" w:rsidRPr="009F73E5" w:rsidRDefault="00E64AF9" w:rsidP="00E64A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Формування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культури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усного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писемного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мовлення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як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засобу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вільного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спілкування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самовираження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73E5" w:rsidRDefault="009F73E5" w:rsidP="0035106B">
      <w:pPr>
        <w:pStyle w:val="a3"/>
        <w:numPr>
          <w:ilvl w:val="0"/>
          <w:numId w:val="2"/>
        </w:numPr>
        <w:tabs>
          <w:tab w:val="left" w:pos="435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5385">
        <w:rPr>
          <w:rFonts w:ascii="Times New Roman" w:hAnsi="Times New Roman" w:cs="Times New Roman"/>
          <w:sz w:val="28"/>
          <w:szCs w:val="28"/>
          <w:lang w:val="uk-UA"/>
        </w:rPr>
        <w:t>ляхи підвищення читацької компетентності учнів</w:t>
      </w:r>
      <w:r w:rsidR="00351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3E5" w:rsidRDefault="009F73E5" w:rsidP="0035106B">
      <w:pPr>
        <w:pStyle w:val="a3"/>
        <w:numPr>
          <w:ilvl w:val="0"/>
          <w:numId w:val="2"/>
        </w:numPr>
        <w:tabs>
          <w:tab w:val="left" w:pos="435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95385">
        <w:rPr>
          <w:rFonts w:ascii="Times New Roman" w:hAnsi="Times New Roman" w:cs="Times New Roman"/>
          <w:sz w:val="28"/>
          <w:szCs w:val="28"/>
          <w:lang w:val="uk-UA"/>
        </w:rPr>
        <w:t>озширення читацького кругозор</w:t>
      </w:r>
      <w:r w:rsidR="0035106B">
        <w:rPr>
          <w:rFonts w:ascii="Times New Roman" w:hAnsi="Times New Roman" w:cs="Times New Roman"/>
          <w:sz w:val="28"/>
          <w:szCs w:val="28"/>
          <w:lang w:val="uk-UA"/>
        </w:rPr>
        <w:t>у засобами позакласного читання.</w:t>
      </w:r>
    </w:p>
    <w:p w:rsidR="009F73E5" w:rsidRDefault="009F73E5" w:rsidP="0035106B">
      <w:pPr>
        <w:pStyle w:val="a3"/>
        <w:numPr>
          <w:ilvl w:val="0"/>
          <w:numId w:val="2"/>
        </w:numPr>
        <w:tabs>
          <w:tab w:val="left" w:pos="435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385">
        <w:rPr>
          <w:rFonts w:ascii="Times New Roman" w:hAnsi="Times New Roman" w:cs="Times New Roman"/>
          <w:sz w:val="28"/>
          <w:szCs w:val="28"/>
          <w:lang w:val="uk-UA"/>
        </w:rPr>
        <w:t>часть в літературних конкурсах як засіб формування читацької культури учнів</w:t>
      </w:r>
      <w:r w:rsidR="00351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6E0" w:rsidRDefault="003276E0" w:rsidP="0035106B">
      <w:pPr>
        <w:pStyle w:val="a3"/>
        <w:numPr>
          <w:ilvl w:val="0"/>
          <w:numId w:val="2"/>
        </w:numPr>
        <w:tabs>
          <w:tab w:val="left" w:pos="435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5385">
        <w:rPr>
          <w:rFonts w:ascii="Times New Roman" w:hAnsi="Times New Roman" w:cs="Times New Roman"/>
          <w:sz w:val="28"/>
          <w:szCs w:val="28"/>
          <w:lang w:val="uk-UA"/>
        </w:rPr>
        <w:t>икористання електронних освітні</w:t>
      </w:r>
      <w:r w:rsidR="0035106B">
        <w:rPr>
          <w:rFonts w:ascii="Times New Roman" w:hAnsi="Times New Roman" w:cs="Times New Roman"/>
          <w:sz w:val="28"/>
          <w:szCs w:val="28"/>
          <w:lang w:val="uk-UA"/>
        </w:rPr>
        <w:t xml:space="preserve">х ресурсів на </w:t>
      </w:r>
      <w:proofErr w:type="spellStart"/>
      <w:r w:rsidR="0035106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35106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літератури.</w:t>
      </w:r>
    </w:p>
    <w:p w:rsidR="003276E0" w:rsidRPr="00B77788" w:rsidRDefault="003276E0" w:rsidP="00351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Позакласна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робота з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літератури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276E0" w:rsidRPr="00B77788" w:rsidRDefault="003276E0" w:rsidP="00351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Літературне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краєзнавство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як компонент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літературної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освіти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73E5" w:rsidRPr="00B77788" w:rsidRDefault="003276E0" w:rsidP="00351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Регіональний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компонент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варіативної</w:t>
      </w:r>
      <w:proofErr w:type="spellEnd"/>
      <w:r w:rsidRPr="00B77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77788">
        <w:rPr>
          <w:rFonts w:ascii="Times New Roman" w:eastAsia="Calibri" w:hAnsi="Times New Roman" w:cs="Times New Roman"/>
          <w:bCs/>
          <w:sz w:val="28"/>
          <w:szCs w:val="28"/>
        </w:rPr>
        <w:t>складової</w:t>
      </w:r>
      <w:proofErr w:type="spellEnd"/>
    </w:p>
    <w:p w:rsidR="003276E0" w:rsidRDefault="003276E0" w:rsidP="0035106B">
      <w:pPr>
        <w:pStyle w:val="a3"/>
        <w:numPr>
          <w:ilvl w:val="0"/>
          <w:numId w:val="2"/>
        </w:numPr>
        <w:tabs>
          <w:tab w:val="left" w:pos="435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443AC">
        <w:rPr>
          <w:rFonts w:ascii="Times New Roman" w:hAnsi="Times New Roman" w:cs="Times New Roman"/>
          <w:sz w:val="28"/>
          <w:szCs w:val="28"/>
          <w:lang w:val="uk-UA"/>
        </w:rPr>
        <w:t>кладання відеотеки перспективного педагогічного досвіду з актуальних питань літературної освіти.</w:t>
      </w:r>
    </w:p>
    <w:p w:rsidR="00E64AF9" w:rsidRPr="00B77788" w:rsidRDefault="00E64AF9" w:rsidP="003276E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4010" w:rsidRPr="004F3FD9" w:rsidRDefault="003D4010" w:rsidP="003D40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науково-методичного центру</w:t>
      </w:r>
    </w:p>
    <w:p w:rsidR="003D4010" w:rsidRDefault="003D4010" w:rsidP="003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суспільно-гуманітарних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</w:p>
    <w:p w:rsidR="00E64AF9" w:rsidRPr="003D4010" w:rsidRDefault="003D4010" w:rsidP="003D40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міжнародної інтеграції </w:t>
      </w: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ІППОЧО</w:t>
      </w: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Л.І.Іванова</w:t>
      </w: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77788" w:rsidRPr="003D4010" w:rsidRDefault="00B77788" w:rsidP="00E64A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77788" w:rsidRPr="003D4010" w:rsidRDefault="00B77788" w:rsidP="00E64A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11902" w:rsidRPr="003D4010" w:rsidRDefault="00811902" w:rsidP="008451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902" w:rsidRPr="003D4010" w:rsidRDefault="00811902" w:rsidP="0084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902" w:rsidRPr="003D4010" w:rsidRDefault="00811902" w:rsidP="0084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902" w:rsidRPr="003D4010" w:rsidRDefault="00811902" w:rsidP="00CF1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902" w:rsidRPr="003D4010" w:rsidRDefault="00811902" w:rsidP="00CF1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902" w:rsidRPr="003D4010" w:rsidRDefault="00811902" w:rsidP="00CF1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902" w:rsidRPr="003D4010" w:rsidRDefault="00811902" w:rsidP="00CF1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90" w:rsidRPr="003D4010" w:rsidRDefault="00632B56" w:rsidP="0020679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CDE" w:rsidRPr="003D4010" w:rsidRDefault="003A4CDE" w:rsidP="002067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4CDE" w:rsidRPr="003D4010" w:rsidSect="00AF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3B4"/>
    <w:multiLevelType w:val="hybridMultilevel"/>
    <w:tmpl w:val="6628813C"/>
    <w:lvl w:ilvl="0" w:tplc="F6629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D42"/>
    <w:multiLevelType w:val="hybridMultilevel"/>
    <w:tmpl w:val="D08AC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D6544"/>
    <w:multiLevelType w:val="hybridMultilevel"/>
    <w:tmpl w:val="7B0AA206"/>
    <w:lvl w:ilvl="0" w:tplc="F11C6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F17"/>
    <w:rsid w:val="000862DD"/>
    <w:rsid w:val="000B1550"/>
    <w:rsid w:val="000D0994"/>
    <w:rsid w:val="00140BBA"/>
    <w:rsid w:val="00142D5A"/>
    <w:rsid w:val="00151229"/>
    <w:rsid w:val="00187A1C"/>
    <w:rsid w:val="001A17F7"/>
    <w:rsid w:val="001B68BE"/>
    <w:rsid w:val="00206790"/>
    <w:rsid w:val="002100F7"/>
    <w:rsid w:val="00321C5C"/>
    <w:rsid w:val="003276E0"/>
    <w:rsid w:val="0033696F"/>
    <w:rsid w:val="003453E1"/>
    <w:rsid w:val="0035106B"/>
    <w:rsid w:val="003A0A31"/>
    <w:rsid w:val="003A4CDE"/>
    <w:rsid w:val="003D4010"/>
    <w:rsid w:val="0043109D"/>
    <w:rsid w:val="0044428A"/>
    <w:rsid w:val="004927AC"/>
    <w:rsid w:val="004B6B1D"/>
    <w:rsid w:val="004F2515"/>
    <w:rsid w:val="0050321F"/>
    <w:rsid w:val="00561F68"/>
    <w:rsid w:val="005D1588"/>
    <w:rsid w:val="00601464"/>
    <w:rsid w:val="00632B56"/>
    <w:rsid w:val="00652A28"/>
    <w:rsid w:val="006C38B5"/>
    <w:rsid w:val="007207AA"/>
    <w:rsid w:val="007D5890"/>
    <w:rsid w:val="007F1E69"/>
    <w:rsid w:val="00811902"/>
    <w:rsid w:val="00811E08"/>
    <w:rsid w:val="008138A0"/>
    <w:rsid w:val="008451AF"/>
    <w:rsid w:val="00870FE8"/>
    <w:rsid w:val="008F576F"/>
    <w:rsid w:val="008F7F17"/>
    <w:rsid w:val="009101E9"/>
    <w:rsid w:val="009C41E9"/>
    <w:rsid w:val="009F73E5"/>
    <w:rsid w:val="00AB3F77"/>
    <w:rsid w:val="00AF2371"/>
    <w:rsid w:val="00B076FF"/>
    <w:rsid w:val="00B77788"/>
    <w:rsid w:val="00BF7455"/>
    <w:rsid w:val="00C05585"/>
    <w:rsid w:val="00C82529"/>
    <w:rsid w:val="00CA75B8"/>
    <w:rsid w:val="00CB4E3C"/>
    <w:rsid w:val="00CE15BF"/>
    <w:rsid w:val="00CF1D1E"/>
    <w:rsid w:val="00D0754A"/>
    <w:rsid w:val="00D20367"/>
    <w:rsid w:val="00D32615"/>
    <w:rsid w:val="00D50314"/>
    <w:rsid w:val="00D61454"/>
    <w:rsid w:val="00D649C2"/>
    <w:rsid w:val="00D96E9C"/>
    <w:rsid w:val="00DC4CB6"/>
    <w:rsid w:val="00DE05D6"/>
    <w:rsid w:val="00E46664"/>
    <w:rsid w:val="00E64AF9"/>
    <w:rsid w:val="00F00228"/>
    <w:rsid w:val="00F024BF"/>
    <w:rsid w:val="00F368A8"/>
    <w:rsid w:val="00FB158B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F07A-2462-4B97-9203-267A01C5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4A"/>
    <w:pPr>
      <w:ind w:left="720"/>
      <w:contextualSpacing/>
    </w:pPr>
  </w:style>
  <w:style w:type="paragraph" w:customStyle="1" w:styleId="a4">
    <w:name w:val="Знак Знак"/>
    <w:basedOn w:val="a"/>
    <w:rsid w:val="00B7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5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0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90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948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18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7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19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05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47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427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25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010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86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9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www.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 Сhebanyk</cp:lastModifiedBy>
  <cp:revision>72</cp:revision>
  <dcterms:created xsi:type="dcterms:W3CDTF">2020-06-14T14:03:00Z</dcterms:created>
  <dcterms:modified xsi:type="dcterms:W3CDTF">2020-06-17T10:00:00Z</dcterms:modified>
</cp:coreProperties>
</file>